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175"/>
        <w:gridCol w:w="1716"/>
        <w:gridCol w:w="1716"/>
        <w:gridCol w:w="1716"/>
        <w:gridCol w:w="1716"/>
        <w:gridCol w:w="1670"/>
        <w:gridCol w:w="1716"/>
        <w:gridCol w:w="1751"/>
      </w:tblGrid>
      <w:tr w:rsidR="00C575E8" w:rsidRPr="009A5850">
        <w:trPr>
          <w:cantSplit/>
          <w:trHeight w:val="692"/>
        </w:trPr>
        <w:tc>
          <w:tcPr>
            <w:tcW w:w="17208" w:type="dxa"/>
            <w:gridSpan w:val="8"/>
            <w:vAlign w:val="center"/>
          </w:tcPr>
          <w:p w:rsidR="00C575E8" w:rsidRPr="009A5850" w:rsidRDefault="00C575E8" w:rsidP="005D2D9B">
            <w:pPr>
              <w:jc w:val="center"/>
              <w:rPr>
                <w:rFonts w:asciiTheme="majorHAnsi" w:hAnsiTheme="majorHAnsi"/>
                <w:sz w:val="16"/>
              </w:rPr>
            </w:pPr>
            <w:r w:rsidRPr="00457362">
              <w:rPr>
                <w:rFonts w:asciiTheme="majorHAnsi" w:hAnsiTheme="majorHAnsi"/>
                <w:b/>
                <w:sz w:val="32"/>
              </w:rPr>
              <w:t>Interpretive</w:t>
            </w:r>
          </w:p>
        </w:tc>
      </w:tr>
      <w:tr w:rsidR="00C575E8">
        <w:trPr>
          <w:cantSplit/>
          <w:trHeight w:val="1134"/>
        </w:trPr>
        <w:tc>
          <w:tcPr>
            <w:tcW w:w="1458" w:type="dxa"/>
          </w:tcPr>
          <w:p w:rsidR="00C575E8" w:rsidRDefault="00C575E8" w:rsidP="009A5850"/>
        </w:tc>
        <w:tc>
          <w:tcPr>
            <w:tcW w:w="2250" w:type="dxa"/>
            <w:vAlign w:val="center"/>
          </w:tcPr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Below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Expectations</w:t>
            </w:r>
          </w:p>
        </w:tc>
        <w:tc>
          <w:tcPr>
            <w:tcW w:w="2250" w:type="dxa"/>
            <w:vAlign w:val="center"/>
          </w:tcPr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Level 1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Meets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Expectations</w:t>
            </w:r>
          </w:p>
        </w:tc>
        <w:tc>
          <w:tcPr>
            <w:tcW w:w="2250" w:type="dxa"/>
            <w:vAlign w:val="center"/>
          </w:tcPr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Level 2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Meets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Expectations</w:t>
            </w:r>
          </w:p>
        </w:tc>
        <w:tc>
          <w:tcPr>
            <w:tcW w:w="2250" w:type="dxa"/>
            <w:vAlign w:val="center"/>
          </w:tcPr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Level 3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Meets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Expectations</w:t>
            </w:r>
          </w:p>
        </w:tc>
        <w:tc>
          <w:tcPr>
            <w:tcW w:w="2250" w:type="dxa"/>
            <w:vAlign w:val="center"/>
          </w:tcPr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Level 4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Meets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Expectations</w:t>
            </w:r>
          </w:p>
        </w:tc>
        <w:tc>
          <w:tcPr>
            <w:tcW w:w="2250" w:type="dxa"/>
            <w:vAlign w:val="center"/>
          </w:tcPr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Level 5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Meets</w:t>
            </w:r>
          </w:p>
          <w:p w:rsidR="00C575E8" w:rsidRPr="00457362" w:rsidRDefault="00C575E8" w:rsidP="009A5850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457362">
              <w:rPr>
                <w:rFonts w:asciiTheme="majorHAnsi" w:hAnsiTheme="majorHAnsi"/>
                <w:b/>
                <w:sz w:val="16"/>
              </w:rPr>
              <w:t>Expectations</w:t>
            </w:r>
          </w:p>
        </w:tc>
        <w:tc>
          <w:tcPr>
            <w:tcW w:w="2250" w:type="dxa"/>
            <w:vAlign w:val="center"/>
          </w:tcPr>
          <w:p w:rsidR="00C575E8" w:rsidRPr="005D2D9B" w:rsidRDefault="00C575E8" w:rsidP="005D2D9B">
            <w:pPr>
              <w:jc w:val="center"/>
              <w:rPr>
                <w:rFonts w:asciiTheme="majorHAnsi" w:hAnsiTheme="majorHAnsi"/>
                <w:b/>
                <w:sz w:val="16"/>
              </w:rPr>
            </w:pPr>
            <w:r w:rsidRPr="005D2D9B">
              <w:rPr>
                <w:rFonts w:asciiTheme="majorHAnsi" w:hAnsiTheme="majorHAnsi"/>
                <w:b/>
                <w:sz w:val="16"/>
              </w:rPr>
              <w:t>Exceeds</w:t>
            </w:r>
          </w:p>
          <w:p w:rsidR="00C575E8" w:rsidRDefault="00C575E8" w:rsidP="005D2D9B">
            <w:pPr>
              <w:jc w:val="center"/>
            </w:pPr>
            <w:r w:rsidRPr="005D2D9B">
              <w:rPr>
                <w:rFonts w:asciiTheme="majorHAnsi" w:hAnsiTheme="majorHAnsi"/>
                <w:b/>
                <w:sz w:val="16"/>
              </w:rPr>
              <w:t>Expectations</w:t>
            </w:r>
          </w:p>
        </w:tc>
      </w:tr>
      <w:tr w:rsidR="00C575E8" w:rsidRPr="009A5850">
        <w:trPr>
          <w:cantSplit/>
          <w:trHeight w:val="1134"/>
        </w:trPr>
        <w:tc>
          <w:tcPr>
            <w:tcW w:w="1458" w:type="dxa"/>
            <w:vAlign w:val="center"/>
          </w:tcPr>
          <w:p w:rsidR="00C575E8" w:rsidRPr="005D2D9B" w:rsidRDefault="00C575E8" w:rsidP="009A5850">
            <w:pPr>
              <w:rPr>
                <w:rFonts w:asciiTheme="majorHAnsi" w:hAnsiTheme="majorHAnsi"/>
                <w:b/>
                <w:sz w:val="16"/>
              </w:rPr>
            </w:pPr>
            <w:r w:rsidRPr="005D2D9B">
              <w:rPr>
                <w:rFonts w:asciiTheme="majorHAnsi" w:hAnsiTheme="majorHAnsi"/>
                <w:b/>
                <w:sz w:val="16"/>
              </w:rPr>
              <w:t>Literal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demonstrate an understanding that is limited to what can be interpreted from graphical evidence, visuals or gestures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demonstrate an understanding that is limited to the broadest description of the main idea; no accurate identification of supporting ideas exists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demonstrate a broad understanding of the main idea; provide some supporting ideas, but most are missing or inaccurate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demonstrate a clear understanding of main idea; provide many accurate supporting details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4C698C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 xml:space="preserve">identify main idea and most supporting details on a limited number of topics; cite strong textual evidence 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4C698C">
            <w:pPr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identify main idea and </w:t>
            </w:r>
            <w:r w:rsidRPr="009A5850">
              <w:rPr>
                <w:rFonts w:asciiTheme="majorHAnsi" w:hAnsiTheme="majorHAnsi"/>
                <w:sz w:val="16"/>
              </w:rPr>
              <w:t xml:space="preserve"> </w:t>
            </w:r>
            <w:r>
              <w:rPr>
                <w:rFonts w:asciiTheme="majorHAnsi" w:hAnsiTheme="majorHAnsi"/>
                <w:sz w:val="16"/>
              </w:rPr>
              <w:t>significant</w:t>
            </w:r>
            <w:r w:rsidRPr="009A5850">
              <w:rPr>
                <w:rFonts w:asciiTheme="majorHAnsi" w:hAnsiTheme="majorHAnsi"/>
                <w:sz w:val="16"/>
              </w:rPr>
              <w:t xml:space="preserve"> details on a variety of </w:t>
            </w:r>
            <w:r>
              <w:rPr>
                <w:rFonts w:asciiTheme="majorHAnsi" w:hAnsiTheme="majorHAnsi"/>
                <w:sz w:val="16"/>
              </w:rPr>
              <w:t xml:space="preserve">concrete </w:t>
            </w:r>
            <w:r w:rsidRPr="009A5850">
              <w:rPr>
                <w:rFonts w:asciiTheme="majorHAnsi" w:hAnsiTheme="majorHAnsi"/>
                <w:sz w:val="16"/>
              </w:rPr>
              <w:t>topics</w:t>
            </w:r>
            <w:r>
              <w:rPr>
                <w:rFonts w:asciiTheme="majorHAnsi" w:hAnsiTheme="majorHAnsi"/>
                <w:sz w:val="16"/>
              </w:rPr>
              <w:t xml:space="preserve"> and some abstract topics</w:t>
            </w:r>
            <w:r w:rsidRPr="009A5850">
              <w:rPr>
                <w:rFonts w:asciiTheme="majorHAnsi" w:hAnsiTheme="majorHAnsi"/>
                <w:sz w:val="16"/>
              </w:rPr>
              <w:t xml:space="preserve">; cite strong textual evidence 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543862">
            <w:pPr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 xml:space="preserve">use knowledge acquired in other curricular areas to enhance comprehension in both concrete and abstract contexts; </w:t>
            </w:r>
          </w:p>
        </w:tc>
      </w:tr>
      <w:tr w:rsidR="00C575E8" w:rsidRPr="009A5850">
        <w:trPr>
          <w:cantSplit/>
          <w:trHeight w:val="1134"/>
        </w:trPr>
        <w:tc>
          <w:tcPr>
            <w:tcW w:w="1458" w:type="dxa"/>
            <w:vAlign w:val="center"/>
          </w:tcPr>
          <w:p w:rsidR="00C575E8" w:rsidRPr="005D2D9B" w:rsidRDefault="00C575E8" w:rsidP="009A5850">
            <w:pPr>
              <w:rPr>
                <w:rFonts w:asciiTheme="majorHAnsi" w:hAnsiTheme="majorHAnsi"/>
                <w:b/>
                <w:sz w:val="16"/>
              </w:rPr>
            </w:pPr>
            <w:r w:rsidRPr="005D2D9B">
              <w:rPr>
                <w:rFonts w:asciiTheme="majorHAnsi" w:hAnsiTheme="majorHAnsi"/>
                <w:b/>
                <w:sz w:val="16"/>
              </w:rPr>
              <w:t>Figurative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(not applicable at novice level)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(not applicable at novice level)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(not applicable at novice level)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draw simple, concrete inferences from the text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Identify inferences in the text; begin to identify simple, figurative language in text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 xml:space="preserve">identify inferences in the text; identify </w:t>
            </w:r>
            <w:r>
              <w:rPr>
                <w:rFonts w:asciiTheme="majorHAnsi" w:hAnsiTheme="majorHAnsi"/>
                <w:sz w:val="16"/>
              </w:rPr>
              <w:t xml:space="preserve">some </w:t>
            </w:r>
            <w:r w:rsidRPr="009A5850">
              <w:rPr>
                <w:rFonts w:asciiTheme="majorHAnsi" w:hAnsiTheme="majorHAnsi"/>
                <w:sz w:val="16"/>
              </w:rPr>
              <w:t>figurative language in a variety of texts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infer and interpret the tone, style and intent of the author</w:t>
            </w:r>
          </w:p>
        </w:tc>
      </w:tr>
      <w:tr w:rsidR="00C575E8" w:rsidRPr="009A5850">
        <w:trPr>
          <w:cantSplit/>
          <w:trHeight w:val="1134"/>
        </w:trPr>
        <w:tc>
          <w:tcPr>
            <w:tcW w:w="1458" w:type="dxa"/>
            <w:vAlign w:val="center"/>
          </w:tcPr>
          <w:p w:rsidR="00C575E8" w:rsidRPr="005D2D9B" w:rsidRDefault="00C575E8" w:rsidP="009A5850">
            <w:pPr>
              <w:rPr>
                <w:rFonts w:asciiTheme="majorHAnsi" w:hAnsiTheme="majorHAnsi"/>
                <w:b/>
                <w:sz w:val="16"/>
              </w:rPr>
            </w:pPr>
            <w:r w:rsidRPr="005D2D9B">
              <w:rPr>
                <w:rFonts w:asciiTheme="majorHAnsi" w:hAnsiTheme="majorHAnsi"/>
                <w:b/>
                <w:sz w:val="16"/>
              </w:rPr>
              <w:t xml:space="preserve">Cultural 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(not applicable at novice level)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 xml:space="preserve">Identify cultural background </w:t>
            </w:r>
            <w:r>
              <w:rPr>
                <w:rFonts w:asciiTheme="majorHAnsi" w:hAnsiTheme="majorHAnsi"/>
                <w:sz w:val="16"/>
              </w:rPr>
              <w:t xml:space="preserve">of target culture </w:t>
            </w:r>
            <w:r w:rsidRPr="009A5850">
              <w:rPr>
                <w:rFonts w:asciiTheme="majorHAnsi" w:hAnsiTheme="majorHAnsi"/>
                <w:sz w:val="16"/>
              </w:rPr>
              <w:t>only if teacher calls attention to the concepts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recognize cultural background in written and oral texts when cultural aspects are similar to their own culture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recognize similarities and differences in the perspectives of the target culture and their own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543862">
            <w:pPr>
              <w:rPr>
                <w:rFonts w:asciiTheme="majorHAnsi" w:hAnsiTheme="majorHAnsi"/>
                <w:sz w:val="16"/>
              </w:rPr>
            </w:pPr>
            <w:r w:rsidRPr="009A5850">
              <w:rPr>
                <w:rFonts w:asciiTheme="majorHAnsi" w:hAnsiTheme="majorHAnsi"/>
                <w:sz w:val="16"/>
              </w:rPr>
              <w:t>recognize</w:t>
            </w:r>
            <w:r>
              <w:rPr>
                <w:rFonts w:asciiTheme="majorHAnsi" w:hAnsiTheme="majorHAnsi"/>
                <w:sz w:val="16"/>
              </w:rPr>
              <w:t xml:space="preserve"> and understand</w:t>
            </w:r>
            <w:r w:rsidRPr="009A5850">
              <w:rPr>
                <w:rFonts w:asciiTheme="majorHAnsi" w:hAnsiTheme="majorHAnsi"/>
                <w:sz w:val="16"/>
              </w:rPr>
              <w:t xml:space="preserve"> cultural </w:t>
            </w:r>
            <w:r>
              <w:rPr>
                <w:rFonts w:asciiTheme="majorHAnsi" w:hAnsiTheme="majorHAnsi"/>
                <w:sz w:val="16"/>
              </w:rPr>
              <w:t>context of many words and phrases; identify organizing principles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use background knowledge of the target culture to enhance understanding of the products, practices and perspectives found in the text</w:t>
            </w:r>
          </w:p>
        </w:tc>
        <w:tc>
          <w:tcPr>
            <w:tcW w:w="2250" w:type="dxa"/>
            <w:vAlign w:val="center"/>
          </w:tcPr>
          <w:p w:rsidR="00C575E8" w:rsidRPr="009A5850" w:rsidRDefault="00C575E8" w:rsidP="009A5850">
            <w:pPr>
              <w:rPr>
                <w:rFonts w:asciiTheme="majorHAnsi" w:hAnsiTheme="majorHAnsi"/>
                <w:sz w:val="16"/>
              </w:rPr>
            </w:pPr>
            <w:r>
              <w:rPr>
                <w:rFonts w:asciiTheme="majorHAnsi" w:hAnsiTheme="majorHAnsi"/>
                <w:sz w:val="16"/>
              </w:rPr>
              <w:t>analyze and evaluate cultural stereotypes encountered in texts</w:t>
            </w:r>
          </w:p>
        </w:tc>
      </w:tr>
    </w:tbl>
    <w:p w:rsidR="005D205D" w:rsidRDefault="00C575E8"/>
    <w:sectPr w:rsidR="005D205D" w:rsidSect="00C575E8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575E8"/>
    <w:rsid w:val="00C575E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5E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575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Educational Consultant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1</cp:revision>
  <dcterms:created xsi:type="dcterms:W3CDTF">2012-09-25T13:09:00Z</dcterms:created>
  <dcterms:modified xsi:type="dcterms:W3CDTF">2012-09-25T13:10:00Z</dcterms:modified>
</cp:coreProperties>
</file>